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6E7" w:rsidRDefault="00A23F7F" w:rsidP="00A23F7F">
      <w:pPr>
        <w:jc w:val="center"/>
        <w:rPr>
          <w:rFonts w:ascii="Times New Roman" w:hAnsi="Times New Roman" w:cs="Times New Roman"/>
          <w:b/>
        </w:rPr>
      </w:pPr>
      <w:r w:rsidRPr="00A23F7F">
        <w:rPr>
          <w:rFonts w:ascii="Times New Roman" w:hAnsi="Times New Roman" w:cs="Times New Roman"/>
          <w:b/>
          <w:noProof/>
        </w:rPr>
        <w:drawing>
          <wp:inline distT="0" distB="0" distL="0" distR="0" wp14:anchorId="4E623CEE" wp14:editId="03C07707">
            <wp:extent cx="6188710" cy="2229485"/>
            <wp:effectExtent l="0" t="0" r="0" b="0"/>
            <wp:docPr id="130" name="圖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圖片 12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2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6E7" w:rsidRDefault="005D06E7" w:rsidP="000116B2">
      <w:pPr>
        <w:jc w:val="both"/>
        <w:rPr>
          <w:rFonts w:ascii="Times New Roman" w:hAnsi="Times New Roman" w:cs="Times New Roman"/>
          <w:b/>
        </w:rPr>
      </w:pPr>
    </w:p>
    <w:p w:rsidR="000116B2" w:rsidRPr="00AB2592" w:rsidRDefault="000116B2" w:rsidP="000116B2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AB2592">
        <w:rPr>
          <w:rFonts w:ascii="Times New Roman" w:hAnsi="Times New Roman" w:cs="Times New Roman"/>
          <w:b/>
        </w:rPr>
        <w:t>Figure 1. p53</w:t>
      </w:r>
      <w:r w:rsidRPr="00AB2592">
        <w:rPr>
          <w:rFonts w:ascii="Times New Roman" w:hAnsi="Times New Roman" w:cs="Times New Roman"/>
          <w:b/>
          <w:vertAlign w:val="superscript"/>
        </w:rPr>
        <w:t>R248Q</w:t>
      </w:r>
      <w:r w:rsidRPr="00AB2592">
        <w:rPr>
          <w:rFonts w:ascii="Times New Roman" w:hAnsi="Times New Roman" w:cs="Times New Roman"/>
          <w:b/>
        </w:rPr>
        <w:t xml:space="preserve"> resulted in amplification of p-AKT. </w:t>
      </w:r>
    </w:p>
    <w:p w:rsidR="000116B2" w:rsidRPr="00AB2592" w:rsidRDefault="000116B2" w:rsidP="000116B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(A) </w:t>
      </w:r>
      <w:r w:rsidRPr="00AB2592">
        <w:rPr>
          <w:rFonts w:ascii="Times New Roman" w:hAnsi="Times New Roman" w:cs="Times New Roman"/>
        </w:rPr>
        <w:t xml:space="preserve">The levels of p-AKT and p-MAPK were reduced after transfection with p53 siRNA in OVCAR3 cells. It </w:t>
      </w:r>
      <w:r w:rsidRPr="00AB2592">
        <w:rPr>
          <w:rFonts w:ascii="Times New Roman" w:eastAsia="新細明體" w:hAnsi="Times New Roman" w:cs="Times New Roman"/>
        </w:rPr>
        <w:t>should</w:t>
      </w:r>
      <w:r w:rsidRPr="00AB2592">
        <w:rPr>
          <w:rFonts w:ascii="Times New Roman" w:hAnsi="Times New Roman" w:cs="Times New Roman"/>
        </w:rPr>
        <w:t xml:space="preserve"> be noted that serum</w:t>
      </w:r>
      <w:r w:rsidRPr="00AB2592">
        <w:rPr>
          <w:rFonts w:ascii="Times New Roman" w:eastAsia="新細明體" w:hAnsi="Times New Roman" w:cs="Times New Roman"/>
        </w:rPr>
        <w:t>-</w:t>
      </w:r>
      <w:r w:rsidRPr="00AB2592">
        <w:rPr>
          <w:rFonts w:ascii="Times New Roman" w:hAnsi="Times New Roman" w:cs="Times New Roman"/>
        </w:rPr>
        <w:t xml:space="preserve">starved OVCAR3 cells were transiently transfected with p53 siRNA (25 nM) or negative control siRNA (25 nM) for 24 hours and </w:t>
      </w:r>
      <w:r w:rsidR="000D6C8C">
        <w:rPr>
          <w:rFonts w:ascii="Times New Roman" w:hAnsi="Times New Roman" w:cs="Times New Roman"/>
        </w:rPr>
        <w:t>then stimulated with EGF for 15</w:t>
      </w:r>
      <w:r w:rsidR="000D6C8C">
        <w:rPr>
          <w:rFonts w:ascii="Times New Roman" w:hAnsi="Times New Roman" w:cs="Times New Roman" w:hint="eastAsia"/>
        </w:rPr>
        <w:t xml:space="preserve"> </w:t>
      </w:r>
      <w:r w:rsidRPr="00AB2592">
        <w:rPr>
          <w:rFonts w:ascii="Times New Roman" w:hAnsi="Times New Roman" w:cs="Times New Roman"/>
        </w:rPr>
        <w:t xml:space="preserve">minutes. </w:t>
      </w:r>
    </w:p>
    <w:p w:rsidR="00411060" w:rsidRDefault="000116B2" w:rsidP="000116B2">
      <w:pPr>
        <w:jc w:val="both"/>
        <w:rPr>
          <w:rFonts w:ascii="Times New Roman" w:hAnsi="Times New Roman" w:cs="Times New Roman"/>
        </w:rPr>
      </w:pPr>
      <w:r w:rsidRPr="00AB2592">
        <w:rPr>
          <w:rFonts w:ascii="Times New Roman" w:hAnsi="Times New Roman" w:cs="Times New Roman"/>
          <w:b/>
        </w:rPr>
        <w:t>(</w:t>
      </w:r>
      <w:r>
        <w:rPr>
          <w:rFonts w:ascii="Times New Roman" w:hAnsi="Times New Roman" w:cs="Times New Roman"/>
          <w:b/>
        </w:rPr>
        <w:t>B)</w:t>
      </w:r>
      <w:r w:rsidRPr="00AB2592">
        <w:rPr>
          <w:rFonts w:ascii="Times New Roman" w:hAnsi="Times New Roman" w:cs="Times New Roman"/>
        </w:rPr>
        <w:t xml:space="preserve"> The levels of p-AKT were significantly increased after </w:t>
      </w:r>
      <w:r w:rsidRPr="00AB2592">
        <w:rPr>
          <w:rFonts w:ascii="Times New Roman" w:hAnsi="Times New Roman" w:cs="Times New Roman"/>
          <w:szCs w:val="24"/>
        </w:rPr>
        <w:t>p53</w:t>
      </w:r>
      <w:r w:rsidRPr="00AB2592">
        <w:rPr>
          <w:rFonts w:ascii="Times New Roman" w:hAnsi="Times New Roman" w:cs="Times New Roman"/>
          <w:szCs w:val="24"/>
          <w:vertAlign w:val="superscript"/>
        </w:rPr>
        <w:t>R248Q</w:t>
      </w:r>
      <w:r w:rsidRPr="00AB2592">
        <w:rPr>
          <w:rFonts w:ascii="Times New Roman" w:hAnsi="Times New Roman" w:cs="Times New Roman"/>
        </w:rPr>
        <w:t xml:space="preserve"> overexpression in OVCAR3 cells. It </w:t>
      </w:r>
      <w:r w:rsidRPr="00AB2592">
        <w:rPr>
          <w:rFonts w:ascii="Times New Roman" w:eastAsia="新細明體" w:hAnsi="Times New Roman" w:cs="Times New Roman"/>
        </w:rPr>
        <w:t>should</w:t>
      </w:r>
      <w:r w:rsidRPr="00AB2592">
        <w:rPr>
          <w:rFonts w:ascii="Times New Roman" w:hAnsi="Times New Roman" w:cs="Times New Roman"/>
        </w:rPr>
        <w:t xml:space="preserve"> be noted that OVCAR3 cells were transiently transfected with either empty plasmid (1 </w:t>
      </w:r>
      <w:r w:rsidRPr="00AB2592">
        <w:rPr>
          <w:rFonts w:ascii="Times New Roman" w:eastAsia="新細明體" w:hAnsi="Times New Roman" w:cs="Times New Roman"/>
        </w:rPr>
        <w:t>μ</w:t>
      </w:r>
      <w:r w:rsidRPr="00AB2592">
        <w:rPr>
          <w:rFonts w:ascii="Times New Roman" w:hAnsi="Times New Roman" w:cs="Times New Roman"/>
        </w:rPr>
        <w:t xml:space="preserve">g/mL), wtp53 (1 </w:t>
      </w:r>
      <w:r w:rsidRPr="00AB2592">
        <w:rPr>
          <w:rFonts w:ascii="Times New Roman" w:eastAsia="新細明體" w:hAnsi="Times New Roman" w:cs="Times New Roman"/>
        </w:rPr>
        <w:t>μ</w:t>
      </w:r>
      <w:r w:rsidRPr="00AB2592">
        <w:rPr>
          <w:rFonts w:ascii="Times New Roman" w:hAnsi="Times New Roman" w:cs="Times New Roman"/>
        </w:rPr>
        <w:t xml:space="preserve">g/mL), or </w:t>
      </w:r>
      <w:r w:rsidRPr="00AB2592">
        <w:rPr>
          <w:rFonts w:ascii="Times New Roman" w:hAnsi="Times New Roman" w:cs="Times New Roman"/>
          <w:szCs w:val="24"/>
        </w:rPr>
        <w:t>p53</w:t>
      </w:r>
      <w:r w:rsidRPr="00AB2592">
        <w:rPr>
          <w:rFonts w:ascii="Times New Roman" w:hAnsi="Times New Roman" w:cs="Times New Roman"/>
          <w:szCs w:val="24"/>
          <w:vertAlign w:val="superscript"/>
        </w:rPr>
        <w:t>R248Q</w:t>
      </w:r>
      <w:r w:rsidRPr="00AB2592">
        <w:rPr>
          <w:rFonts w:ascii="Times New Roman" w:hAnsi="Times New Roman" w:cs="Times New Roman"/>
        </w:rPr>
        <w:t xml:space="preserve"> (1 </w:t>
      </w:r>
      <w:r w:rsidRPr="00AB2592">
        <w:rPr>
          <w:rFonts w:ascii="Times New Roman" w:eastAsia="新細明體" w:hAnsi="Times New Roman" w:cs="Times New Roman"/>
        </w:rPr>
        <w:t>μ</w:t>
      </w:r>
      <w:r w:rsidRPr="00AB2592">
        <w:rPr>
          <w:rFonts w:ascii="Times New Roman" w:hAnsi="Times New Roman" w:cs="Times New Roman"/>
        </w:rPr>
        <w:t xml:space="preserve">g/mL) for 24 hours and then stimulated with EGF for 15 minutes. </w:t>
      </w:r>
    </w:p>
    <w:p w:rsidR="000116B2" w:rsidRPr="00D76026" w:rsidRDefault="000116B2" w:rsidP="000116B2">
      <w:pPr>
        <w:jc w:val="both"/>
        <w:rPr>
          <w:rFonts w:ascii="Times New Roman" w:hAnsi="Times New Roman" w:cs="Times New Roman"/>
        </w:rPr>
      </w:pPr>
      <w:r w:rsidRPr="00AB2592">
        <w:rPr>
          <w:rFonts w:ascii="Times New Roman" w:hAnsi="Times New Roman" w:cs="Times New Roman"/>
        </w:rPr>
        <w:t xml:space="preserve">Phosphorylation of </w:t>
      </w:r>
      <w:r w:rsidR="00411060">
        <w:rPr>
          <w:rFonts w:ascii="Times New Roman" w:hAnsi="Times New Roman" w:cs="Times New Roman"/>
        </w:rPr>
        <w:t>AKT (Ser473)</w:t>
      </w:r>
      <w:r w:rsidRPr="00AB2592">
        <w:rPr>
          <w:rFonts w:ascii="Times New Roman" w:hAnsi="Times New Roman" w:cs="Times New Roman"/>
        </w:rPr>
        <w:t xml:space="preserve"> and MAPK 1/2 (Thr202/Tyr204) </w:t>
      </w:r>
      <w:r w:rsidRPr="00AB2592">
        <w:rPr>
          <w:rFonts w:ascii="Times New Roman" w:eastAsia="新細明體" w:hAnsi="Times New Roman" w:cs="Times New Roman"/>
        </w:rPr>
        <w:t>was</w:t>
      </w:r>
      <w:r w:rsidRPr="00AB2592">
        <w:rPr>
          <w:rFonts w:ascii="Times New Roman" w:hAnsi="Times New Roman" w:cs="Times New Roman"/>
        </w:rPr>
        <w:t xml:space="preserve"> determined by immunoblot analysis using corresponding antibodies. GAPDH expression was measured to serve as</w:t>
      </w:r>
      <w:r w:rsidRPr="00AB2592">
        <w:rPr>
          <w:rFonts w:ascii="Times New Roman" w:eastAsia="新細明體" w:hAnsi="Times New Roman" w:cs="Times New Roman"/>
        </w:rPr>
        <w:t xml:space="preserve"> a</w:t>
      </w:r>
      <w:r w:rsidRPr="00AB2592">
        <w:rPr>
          <w:rFonts w:ascii="Times New Roman" w:hAnsi="Times New Roman" w:cs="Times New Roman"/>
        </w:rPr>
        <w:t xml:space="preserve"> loading control.</w:t>
      </w:r>
    </w:p>
    <w:p w:rsidR="000116B2" w:rsidRDefault="000116B2" w:rsidP="000116B2"/>
    <w:p w:rsidR="000116B2" w:rsidRDefault="000116B2">
      <w:pPr>
        <w:widowControl/>
      </w:pPr>
      <w:r>
        <w:br w:type="page"/>
      </w:r>
    </w:p>
    <w:p w:rsidR="00FC2115" w:rsidRDefault="00FC2115" w:rsidP="000116B2">
      <w:r w:rsidRPr="007E4FDE">
        <w:rPr>
          <w:noProof/>
        </w:rPr>
        <w:lastRenderedPageBreak/>
        <w:drawing>
          <wp:inline distT="0" distB="0" distL="0" distR="0" wp14:anchorId="18C0C0CE" wp14:editId="35B16CB0">
            <wp:extent cx="6188710" cy="5417820"/>
            <wp:effectExtent l="0" t="0" r="2540" b="0"/>
            <wp:docPr id="10" name="圖片 10" descr="G:\YJC lab\Paper\Figure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65619" name="Picture 3" descr="G:\YJC lab\Paper\Figure\Figure S1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541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2115" w:rsidRPr="00300567" w:rsidRDefault="00FC2115" w:rsidP="00FC2115">
      <w:pPr>
        <w:jc w:val="center"/>
        <w:rPr>
          <w:rFonts w:ascii="Times New Roman" w:hAnsi="Times New Roman" w:cs="Times New Roman"/>
        </w:rPr>
      </w:pPr>
    </w:p>
    <w:p w:rsidR="00FC2115" w:rsidRPr="00300567" w:rsidRDefault="000116B2" w:rsidP="00FC2115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 Figure 2</w:t>
      </w:r>
      <w:r w:rsidR="00FC2115" w:rsidRPr="00300567">
        <w:rPr>
          <w:rFonts w:ascii="Times New Roman" w:hAnsi="Times New Roman" w:cs="Times New Roman"/>
          <w:b/>
        </w:rPr>
        <w:t>. Time-dependent cytonuclear trafficking patterns of EGFR and MDM2</w:t>
      </w:r>
    </w:p>
    <w:p w:rsidR="00FC2115" w:rsidRPr="00FF319A" w:rsidRDefault="00FC2115" w:rsidP="00FC2115">
      <w:pPr>
        <w:jc w:val="both"/>
        <w:rPr>
          <w:rFonts w:ascii="Times New Roman" w:hAnsi="Times New Roman" w:cs="Times New Roman"/>
          <w:b/>
        </w:rPr>
      </w:pPr>
      <w:r w:rsidRPr="00300567">
        <w:rPr>
          <w:rFonts w:ascii="Times New Roman" w:hAnsi="Times New Roman" w:cs="Times New Roman"/>
        </w:rPr>
        <w:t>EGFR and MDM2 moved in a convergent manner from the cytoplasm to the nucleus over time after EGF stimulation.</w:t>
      </w:r>
    </w:p>
    <w:p w:rsidR="00FC2115" w:rsidRPr="00300567" w:rsidRDefault="00FC2115" w:rsidP="00FC2115">
      <w:pPr>
        <w:widowControl/>
        <w:jc w:val="both"/>
        <w:rPr>
          <w:rFonts w:ascii="Times New Roman" w:hAnsi="Times New Roman" w:cs="Times New Roman"/>
          <w:b/>
          <w:szCs w:val="24"/>
        </w:rPr>
      </w:pPr>
      <w:r w:rsidRPr="00300567">
        <w:rPr>
          <w:rFonts w:ascii="Times New Roman" w:hAnsi="Times New Roman" w:cs="Times New Roman"/>
          <w:b/>
          <w:szCs w:val="24"/>
        </w:rPr>
        <w:br w:type="page"/>
      </w:r>
    </w:p>
    <w:p w:rsidR="005D06E7" w:rsidRPr="005D06E7" w:rsidRDefault="005D06E7" w:rsidP="005D06E7">
      <w:pPr>
        <w:spacing w:line="360" w:lineRule="auto"/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lastRenderedPageBreak/>
        <w:t xml:space="preserve">Supplementary </w:t>
      </w:r>
      <w:r w:rsidRPr="00BF0F3F">
        <w:rPr>
          <w:rFonts w:ascii="Times New Roman" w:hAnsi="Times New Roman" w:cs="Times New Roman"/>
          <w:b/>
          <w:szCs w:val="24"/>
        </w:rPr>
        <w:t>Table 1. IC</w:t>
      </w:r>
      <w:r w:rsidRPr="00BF0F3F">
        <w:rPr>
          <w:rFonts w:ascii="Times New Roman" w:hAnsi="Times New Roman" w:cs="Times New Roman"/>
          <w:b/>
          <w:szCs w:val="24"/>
          <w:vertAlign w:val="subscript"/>
        </w:rPr>
        <w:t>50</w:t>
      </w:r>
      <w:r w:rsidRPr="00BF0F3F">
        <w:rPr>
          <w:rFonts w:ascii="Times New Roman" w:hAnsi="Times New Roman" w:cs="Times New Roman"/>
          <w:b/>
          <w:szCs w:val="24"/>
        </w:rPr>
        <w:t xml:space="preserve"> values of OVCAR3 cells with different p53 status to EGFR and/or MDM2 inhibitors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177"/>
        <w:gridCol w:w="2952"/>
        <w:gridCol w:w="2807"/>
        <w:gridCol w:w="2800"/>
      </w:tblGrid>
      <w:tr w:rsidR="005D06E7" w:rsidRPr="00BF0F3F" w:rsidTr="00FA2F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Cell Line</w:t>
            </w:r>
          </w:p>
        </w:tc>
        <w:tc>
          <w:tcPr>
            <w:tcW w:w="2952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Cell Status</w:t>
            </w:r>
          </w:p>
        </w:tc>
        <w:tc>
          <w:tcPr>
            <w:tcW w:w="2807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Drug Treatment</w:t>
            </w:r>
          </w:p>
        </w:tc>
        <w:tc>
          <w:tcPr>
            <w:tcW w:w="2800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IC</w:t>
            </w:r>
            <w:r w:rsidRPr="00BF0F3F">
              <w:rPr>
                <w:rFonts w:ascii="Times New Roman" w:hAnsi="Times New Roman" w:cs="Times New Roman"/>
                <w:szCs w:val="24"/>
                <w:vertAlign w:val="subscript"/>
              </w:rPr>
              <w:t>50</w:t>
            </w:r>
            <w:r w:rsidRPr="00BF0F3F">
              <w:rPr>
                <w:rFonts w:ascii="Times New Roman" w:hAnsi="Times New Roman" w:cs="Times New Roman"/>
                <w:szCs w:val="24"/>
              </w:rPr>
              <w:t xml:space="preserve"> (μM)</w:t>
            </w:r>
          </w:p>
        </w:tc>
      </w:tr>
      <w:tr w:rsidR="005D06E7" w:rsidRPr="00BF0F3F" w:rsidTr="00FA2F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dxa"/>
            <w:vMerge w:val="restart"/>
            <w:vAlign w:val="center"/>
          </w:tcPr>
          <w:p w:rsidR="005D06E7" w:rsidRPr="00962509" w:rsidRDefault="005D06E7" w:rsidP="005D06E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962509">
              <w:rPr>
                <w:rFonts w:ascii="Times New Roman" w:hAnsi="Times New Roman" w:cs="Times New Roman"/>
                <w:b w:val="0"/>
                <w:szCs w:val="24"/>
              </w:rPr>
              <w:t>OVCAR3</w:t>
            </w:r>
          </w:p>
        </w:tc>
        <w:tc>
          <w:tcPr>
            <w:tcW w:w="2952" w:type="dxa"/>
            <w:vMerge w:val="restart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Pretransfected with empty plasmid for 18 hours</w:t>
            </w:r>
          </w:p>
        </w:tc>
        <w:tc>
          <w:tcPr>
            <w:tcW w:w="2807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JNJ</w:t>
            </w:r>
          </w:p>
        </w:tc>
        <w:tc>
          <w:tcPr>
            <w:tcW w:w="2800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21.83</w:t>
            </w:r>
          </w:p>
        </w:tc>
      </w:tr>
      <w:tr w:rsidR="005D06E7" w:rsidRPr="00BF0F3F" w:rsidTr="00FA2FC8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dxa"/>
            <w:vMerge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52" w:type="dxa"/>
            <w:vMerge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07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Gefitinib</w:t>
            </w:r>
          </w:p>
        </w:tc>
        <w:tc>
          <w:tcPr>
            <w:tcW w:w="2800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33.74</w:t>
            </w:r>
          </w:p>
        </w:tc>
      </w:tr>
      <w:tr w:rsidR="005D06E7" w:rsidRPr="00BF0F3F" w:rsidTr="00FA2F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dxa"/>
            <w:vMerge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52" w:type="dxa"/>
            <w:vMerge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07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JNJ + Gefitinib</w:t>
            </w:r>
          </w:p>
        </w:tc>
        <w:tc>
          <w:tcPr>
            <w:tcW w:w="2800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8.57</w:t>
            </w:r>
          </w:p>
        </w:tc>
      </w:tr>
      <w:tr w:rsidR="005D06E7" w:rsidRPr="00BF0F3F" w:rsidTr="00FA2FC8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dxa"/>
            <w:vMerge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52" w:type="dxa"/>
            <w:vMerge w:val="restart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Pretransfected with p53</w:t>
            </w:r>
            <w:r w:rsidRPr="00BF0F3F">
              <w:rPr>
                <w:rFonts w:ascii="Times New Roman" w:hAnsi="Times New Roman" w:cs="Times New Roman"/>
                <w:szCs w:val="24"/>
                <w:vertAlign w:val="superscript"/>
              </w:rPr>
              <w:t>R248Q</w:t>
            </w:r>
            <w:r w:rsidRPr="00BF0F3F">
              <w:rPr>
                <w:rFonts w:ascii="Times New Roman" w:hAnsi="Times New Roman" w:cs="Times New Roman"/>
                <w:szCs w:val="24"/>
              </w:rPr>
              <w:t xml:space="preserve"> for 18 hours</w:t>
            </w:r>
          </w:p>
        </w:tc>
        <w:tc>
          <w:tcPr>
            <w:tcW w:w="2807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JNJ</w:t>
            </w:r>
          </w:p>
        </w:tc>
        <w:tc>
          <w:tcPr>
            <w:tcW w:w="2800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14.35</w:t>
            </w:r>
          </w:p>
        </w:tc>
      </w:tr>
      <w:tr w:rsidR="005D06E7" w:rsidRPr="00BF0F3F" w:rsidTr="00FA2F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dxa"/>
            <w:vMerge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52" w:type="dxa"/>
            <w:vMerge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07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Gefitinib</w:t>
            </w:r>
          </w:p>
        </w:tc>
        <w:tc>
          <w:tcPr>
            <w:tcW w:w="2800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26.47</w:t>
            </w:r>
          </w:p>
        </w:tc>
      </w:tr>
      <w:tr w:rsidR="005D06E7" w:rsidRPr="00BF0F3F" w:rsidTr="00FA2FC8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dxa"/>
            <w:vMerge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52" w:type="dxa"/>
            <w:vMerge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07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JNJ + Gefitinib</w:t>
            </w:r>
          </w:p>
        </w:tc>
        <w:tc>
          <w:tcPr>
            <w:tcW w:w="2800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8.18</w:t>
            </w:r>
          </w:p>
        </w:tc>
      </w:tr>
    </w:tbl>
    <w:p w:rsidR="00411060" w:rsidRDefault="00411060" w:rsidP="005D06E7">
      <w:pPr>
        <w:widowControl/>
        <w:spacing w:line="360" w:lineRule="auto"/>
        <w:rPr>
          <w:rFonts w:ascii="Times New Roman" w:hAnsi="Times New Roman" w:cs="Times New Roman"/>
          <w:b/>
          <w:szCs w:val="24"/>
        </w:rPr>
      </w:pPr>
    </w:p>
    <w:p w:rsidR="005D06E7" w:rsidRDefault="005D06E7" w:rsidP="005D06E7">
      <w:pPr>
        <w:widowControl/>
        <w:spacing w:line="360" w:lineRule="auto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br w:type="page"/>
      </w:r>
    </w:p>
    <w:p w:rsidR="005D06E7" w:rsidRPr="00860E59" w:rsidRDefault="005D06E7" w:rsidP="005D06E7">
      <w:pPr>
        <w:spacing w:line="360" w:lineRule="auto"/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lastRenderedPageBreak/>
        <w:t xml:space="preserve">Supplementary </w:t>
      </w:r>
      <w:r w:rsidRPr="00BF0F3F">
        <w:rPr>
          <w:rFonts w:ascii="Times New Roman" w:hAnsi="Times New Roman" w:cs="Times New Roman"/>
          <w:b/>
          <w:szCs w:val="24"/>
        </w:rPr>
        <w:t xml:space="preserve">Table 2. Combination index (CI) values and synergism grading of combined JNJ and gefitinib treatment at different effective </w:t>
      </w:r>
      <w:r w:rsidRPr="00BF0F3F">
        <w:rPr>
          <w:rFonts w:ascii="Times New Roman" w:eastAsia="新細明體" w:hAnsi="Times New Roman" w:cs="Times New Roman"/>
          <w:b/>
          <w:szCs w:val="24"/>
        </w:rPr>
        <w:t>doses</w:t>
      </w:r>
      <w:r w:rsidRPr="00BF0F3F">
        <w:rPr>
          <w:rFonts w:ascii="Times New Roman" w:hAnsi="Times New Roman" w:cs="Times New Roman"/>
          <w:b/>
          <w:szCs w:val="24"/>
        </w:rPr>
        <w:t xml:space="preserve"> (ED50, ED75 and ED90)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177"/>
        <w:gridCol w:w="2937"/>
        <w:gridCol w:w="1877"/>
        <w:gridCol w:w="1877"/>
        <w:gridCol w:w="1878"/>
      </w:tblGrid>
      <w:tr w:rsidR="005D06E7" w:rsidRPr="00BF0F3F" w:rsidTr="00FA2F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vMerge w:val="restart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Cell Line</w:t>
            </w:r>
          </w:p>
        </w:tc>
        <w:tc>
          <w:tcPr>
            <w:tcW w:w="2976" w:type="dxa"/>
            <w:vMerge w:val="restart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Cell Status</w:t>
            </w:r>
          </w:p>
        </w:tc>
        <w:tc>
          <w:tcPr>
            <w:tcW w:w="5725" w:type="dxa"/>
            <w:gridSpan w:val="3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CI Values and Synergism Grading</w:t>
            </w:r>
          </w:p>
        </w:tc>
      </w:tr>
      <w:tr w:rsidR="005D06E7" w:rsidRPr="00BF0F3F" w:rsidTr="00FA2F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vMerge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6" w:type="dxa"/>
            <w:vMerge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08" w:type="dxa"/>
            <w:vAlign w:val="center"/>
          </w:tcPr>
          <w:p w:rsidR="005D06E7" w:rsidRPr="00962509" w:rsidRDefault="005D06E7" w:rsidP="005D06E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4"/>
              </w:rPr>
            </w:pPr>
            <w:r w:rsidRPr="00962509">
              <w:rPr>
                <w:rFonts w:ascii="Times New Roman" w:hAnsi="Times New Roman" w:cs="Times New Roman"/>
                <w:b/>
                <w:szCs w:val="24"/>
              </w:rPr>
              <w:t>ED50</w:t>
            </w:r>
          </w:p>
        </w:tc>
        <w:tc>
          <w:tcPr>
            <w:tcW w:w="1908" w:type="dxa"/>
            <w:vAlign w:val="center"/>
          </w:tcPr>
          <w:p w:rsidR="005D06E7" w:rsidRPr="00962509" w:rsidRDefault="005D06E7" w:rsidP="005D06E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4"/>
              </w:rPr>
            </w:pPr>
            <w:r w:rsidRPr="00962509">
              <w:rPr>
                <w:rFonts w:ascii="Times New Roman" w:hAnsi="Times New Roman" w:cs="Times New Roman"/>
                <w:b/>
                <w:szCs w:val="24"/>
              </w:rPr>
              <w:t>ED75</w:t>
            </w:r>
          </w:p>
        </w:tc>
        <w:tc>
          <w:tcPr>
            <w:tcW w:w="1909" w:type="dxa"/>
            <w:vAlign w:val="center"/>
          </w:tcPr>
          <w:p w:rsidR="005D06E7" w:rsidRPr="00962509" w:rsidRDefault="005D06E7" w:rsidP="005D06E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4"/>
              </w:rPr>
            </w:pPr>
            <w:r w:rsidRPr="00962509">
              <w:rPr>
                <w:rFonts w:ascii="Times New Roman" w:hAnsi="Times New Roman" w:cs="Times New Roman"/>
                <w:b/>
                <w:szCs w:val="24"/>
              </w:rPr>
              <w:t>ED90</w:t>
            </w:r>
          </w:p>
        </w:tc>
      </w:tr>
      <w:tr w:rsidR="005D06E7" w:rsidRPr="00BF0F3F" w:rsidTr="00FA2FC8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vMerge w:val="restart"/>
            <w:vAlign w:val="center"/>
          </w:tcPr>
          <w:p w:rsidR="005D06E7" w:rsidRPr="00962509" w:rsidRDefault="005D06E7" w:rsidP="005D06E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962509">
              <w:rPr>
                <w:rFonts w:ascii="Times New Roman" w:hAnsi="Times New Roman" w:cs="Times New Roman"/>
                <w:b w:val="0"/>
                <w:szCs w:val="24"/>
              </w:rPr>
              <w:t>OVCAR3</w:t>
            </w:r>
          </w:p>
        </w:tc>
        <w:tc>
          <w:tcPr>
            <w:tcW w:w="2976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Pretransfected with empty plasmid for 18 hours</w:t>
            </w:r>
          </w:p>
        </w:tc>
        <w:tc>
          <w:tcPr>
            <w:tcW w:w="1908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0.65</w:t>
            </w:r>
          </w:p>
          <w:p w:rsidR="005D06E7" w:rsidRPr="00BF0F3F" w:rsidRDefault="005D06E7" w:rsidP="005D06E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+++</w:t>
            </w:r>
          </w:p>
        </w:tc>
        <w:tc>
          <w:tcPr>
            <w:tcW w:w="1908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0.51</w:t>
            </w:r>
          </w:p>
          <w:p w:rsidR="005D06E7" w:rsidRPr="00BF0F3F" w:rsidRDefault="005D06E7" w:rsidP="005D06E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+++</w:t>
            </w:r>
          </w:p>
        </w:tc>
        <w:tc>
          <w:tcPr>
            <w:tcW w:w="1909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0.47</w:t>
            </w:r>
          </w:p>
          <w:p w:rsidR="005D06E7" w:rsidRPr="00BF0F3F" w:rsidRDefault="005D06E7" w:rsidP="005D06E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+++</w:t>
            </w:r>
          </w:p>
        </w:tc>
      </w:tr>
      <w:tr w:rsidR="005D06E7" w:rsidRPr="00BF0F3F" w:rsidTr="00FA2F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vMerge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Pretransfected with p53</w:t>
            </w:r>
            <w:r w:rsidRPr="00BF0F3F">
              <w:rPr>
                <w:rFonts w:ascii="Times New Roman" w:hAnsi="Times New Roman" w:cs="Times New Roman"/>
                <w:szCs w:val="24"/>
                <w:vertAlign w:val="superscript"/>
              </w:rPr>
              <w:t>R248Q</w:t>
            </w:r>
            <w:r w:rsidRPr="00BF0F3F">
              <w:rPr>
                <w:rFonts w:ascii="Times New Roman" w:hAnsi="Times New Roman" w:cs="Times New Roman"/>
                <w:szCs w:val="24"/>
              </w:rPr>
              <w:t xml:space="preserve"> for 18 hours</w:t>
            </w:r>
          </w:p>
        </w:tc>
        <w:tc>
          <w:tcPr>
            <w:tcW w:w="1908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0.87</w:t>
            </w:r>
          </w:p>
          <w:p w:rsidR="005D06E7" w:rsidRPr="00BF0F3F" w:rsidRDefault="005D06E7" w:rsidP="005D06E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+</w:t>
            </w:r>
          </w:p>
        </w:tc>
        <w:tc>
          <w:tcPr>
            <w:tcW w:w="1908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0.72</w:t>
            </w:r>
          </w:p>
          <w:p w:rsidR="005D06E7" w:rsidRPr="00BF0F3F" w:rsidRDefault="005D06E7" w:rsidP="005D06E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++</w:t>
            </w:r>
          </w:p>
        </w:tc>
        <w:tc>
          <w:tcPr>
            <w:tcW w:w="1909" w:type="dxa"/>
            <w:vAlign w:val="center"/>
          </w:tcPr>
          <w:p w:rsidR="005D06E7" w:rsidRPr="00BF0F3F" w:rsidRDefault="005D06E7" w:rsidP="005D06E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0.67</w:t>
            </w:r>
          </w:p>
          <w:p w:rsidR="005D06E7" w:rsidRPr="00BF0F3F" w:rsidRDefault="005D06E7" w:rsidP="005D06E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BF0F3F">
              <w:rPr>
                <w:rFonts w:ascii="Times New Roman" w:hAnsi="Times New Roman" w:cs="Times New Roman"/>
                <w:szCs w:val="24"/>
              </w:rPr>
              <w:t>+++</w:t>
            </w:r>
          </w:p>
        </w:tc>
      </w:tr>
    </w:tbl>
    <w:p w:rsidR="005D06E7" w:rsidRDefault="005D06E7" w:rsidP="005D06E7">
      <w:pPr>
        <w:spacing w:line="360" w:lineRule="auto"/>
        <w:jc w:val="both"/>
        <w:rPr>
          <w:rFonts w:ascii="Times New Roman" w:hAnsi="Times New Roman" w:cs="Times New Roman"/>
          <w:szCs w:val="24"/>
        </w:rPr>
      </w:pPr>
      <w:r w:rsidRPr="00BF0F3F">
        <w:rPr>
          <w:rFonts w:ascii="Times New Roman" w:hAnsi="Times New Roman" w:cs="Times New Roman"/>
          <w:szCs w:val="24"/>
        </w:rPr>
        <w:t xml:space="preserve">CI values of specified effective dose (ED) for OVCAR3 cells with different p53 </w:t>
      </w:r>
      <w:r w:rsidRPr="00BF0F3F">
        <w:rPr>
          <w:rFonts w:ascii="Times New Roman" w:eastAsia="新細明體" w:hAnsi="Times New Roman" w:cs="Times New Roman"/>
          <w:szCs w:val="24"/>
        </w:rPr>
        <w:t>statuses</w:t>
      </w:r>
      <w:r w:rsidRPr="00BF0F3F">
        <w:rPr>
          <w:rFonts w:ascii="Times New Roman" w:hAnsi="Times New Roman" w:cs="Times New Roman"/>
          <w:szCs w:val="24"/>
        </w:rPr>
        <w:t xml:space="preserve"> were summarized. The synergism grading of combined inhibition was based on the grading standard defined by Chou and Talalay </w:t>
      </w:r>
      <w:r w:rsidRPr="00BF0F3F">
        <w:rPr>
          <w:rFonts w:ascii="Times New Roman" w:hAnsi="Times New Roman" w:cs="Times New Roman"/>
          <w:szCs w:val="24"/>
        </w:rPr>
        <w:fldChar w:fldCharType="begin"/>
      </w:r>
      <w:r w:rsidRPr="00BF0F3F">
        <w:rPr>
          <w:rFonts w:ascii="Times New Roman" w:hAnsi="Times New Roman" w:cs="Times New Roman"/>
          <w:szCs w:val="24"/>
        </w:rPr>
        <w:instrText xml:space="preserve"> ADDIN EN.CITE &lt;EndNote&gt;&lt;Cite&gt;&lt;Author&gt;Chou&lt;/Author&gt;&lt;Year&gt;2006&lt;/Year&gt;&lt;RecNum&gt;67&lt;/RecNum&gt;&lt;DisplayText&gt;[38]&lt;/DisplayText&gt;&lt;record&gt;&lt;rec-number&gt;67&lt;/rec-number&gt;&lt;foreign-keys&gt;&lt;key app="EN" db-id="ser5avfe50ttp5eeftlxe5zqw2f9tfa9pa0e" timestamp="1555147850"&gt;67&lt;/key&gt;&lt;/foreign-keys&gt;&lt;ref-type name="Journal Article"&gt;17&lt;/ref-type&gt;&lt;contributors&gt;&lt;authors&gt;&lt;author&gt;Chou, T. C.&lt;/author&gt;&lt;/authors&gt;&lt;/contributors&gt;&lt;auth-address&gt;Memorial Sloan-Kettering Cancer Center, 1275 York Avenue, New York, NY 10021, USA. chout@mskcc.org&lt;/auth-address&gt;&lt;titles&gt;&lt;title&gt;Theoretical basis, experimental design, and computerized simulation of synergism and antagonism in drug combination studies&lt;/title&gt;&lt;secondary-title&gt;Pharmacol Rev&lt;/secondary-title&gt;&lt;alt-title&gt;Pharmacological reviews&lt;/alt-title&gt;&lt;/titles&gt;&lt;periodical&gt;&lt;full-title&gt;Pharmacol Rev&lt;/full-title&gt;&lt;abbr-1&gt;Pharmacological reviews&lt;/abbr-1&gt;&lt;/periodical&gt;&lt;alt-periodical&gt;&lt;full-title&gt;Pharmacol Rev&lt;/full-title&gt;&lt;abbr-1&gt;Pharmacological reviews&lt;/abbr-1&gt;&lt;/alt-periodical&gt;&lt;pages&gt;621-81&lt;/pages&gt;&lt;volume&gt;58&lt;/volume&gt;&lt;number&gt;3&lt;/number&gt;&lt;edition&gt;2006/09/14&lt;/edition&gt;&lt;keywords&gt;&lt;keyword&gt;Algorithms&lt;/keyword&gt;&lt;keyword&gt;Animals&lt;/keyword&gt;&lt;keyword&gt;*Computer Simulation&lt;/keyword&gt;&lt;keyword&gt;Dose-Response Relationship, Drug&lt;/keyword&gt;&lt;keyword&gt;*Drug Antagonism&lt;/keyword&gt;&lt;keyword&gt;*Drug Combinations&lt;/keyword&gt;&lt;keyword&gt;*Drug Synergism&lt;/keyword&gt;&lt;keyword&gt;Electronic Data Processing&lt;/keyword&gt;&lt;keyword&gt;Humans&lt;/keyword&gt;&lt;keyword&gt;Medical Informatics&lt;/keyword&gt;&lt;keyword&gt;Models, Biological&lt;/keyword&gt;&lt;keyword&gt;Models, Theoretical&lt;/keyword&gt;&lt;keyword&gt;*Research Design&lt;/keyword&gt;&lt;keyword&gt;Software&lt;/keyword&gt;&lt;keyword&gt;Statistics as Topic&lt;/keyword&gt;&lt;/keywords&gt;&lt;dates&gt;&lt;year&gt;2006&lt;/year&gt;&lt;pub-dates&gt;&lt;date&gt;Sep&lt;/date&gt;&lt;/pub-dates&gt;&lt;/dates&gt;&lt;isbn&gt;0031-6997 (Print)&amp;#xD;0031-6997&lt;/isbn&gt;&lt;accession-num&gt;16968952&lt;/accession-num&gt;&lt;urls&gt;&lt;/urls&gt;&lt;electronic-resource-num&gt;10.1124/pr.58.3.10&lt;/electronic-resource-num&gt;&lt;remote-database-provider&gt;NLM&lt;/remote-database-provider&gt;&lt;language&gt;eng&lt;/language&gt;&lt;/record&gt;&lt;/Cite&gt;&lt;/EndNote&gt;</w:instrText>
      </w:r>
      <w:r w:rsidRPr="00BF0F3F">
        <w:rPr>
          <w:rFonts w:ascii="Times New Roman" w:hAnsi="Times New Roman" w:cs="Times New Roman"/>
          <w:szCs w:val="24"/>
        </w:rPr>
        <w:fldChar w:fldCharType="separate"/>
      </w:r>
      <w:r w:rsidRPr="00BF0F3F">
        <w:rPr>
          <w:rFonts w:ascii="Times New Roman" w:hAnsi="Times New Roman" w:cs="Times New Roman"/>
          <w:noProof/>
          <w:szCs w:val="24"/>
        </w:rPr>
        <w:t>[38</w:t>
      </w:r>
      <w:bookmarkStart w:id="0" w:name="_GoBack"/>
      <w:bookmarkEnd w:id="0"/>
      <w:r w:rsidRPr="00BF0F3F">
        <w:rPr>
          <w:rFonts w:ascii="Times New Roman" w:hAnsi="Times New Roman" w:cs="Times New Roman"/>
          <w:noProof/>
          <w:szCs w:val="24"/>
        </w:rPr>
        <w:t>]</w:t>
      </w:r>
      <w:r w:rsidRPr="00BF0F3F">
        <w:rPr>
          <w:rFonts w:ascii="Times New Roman" w:hAnsi="Times New Roman" w:cs="Times New Roman"/>
          <w:szCs w:val="24"/>
        </w:rPr>
        <w:fldChar w:fldCharType="end"/>
      </w:r>
      <w:r w:rsidRPr="00BF0F3F">
        <w:rPr>
          <w:rFonts w:ascii="Times New Roman" w:hAnsi="Times New Roman" w:cs="Times New Roman"/>
          <w:szCs w:val="24"/>
        </w:rPr>
        <w:t>. CI values from 0.85 to 0.9, 0.7 to 0.85 and 0.3 to 0.7 indicate slight synergism, moderate synergism and synergism, expressed as "+", "++" and "+++", respectively.</w:t>
      </w:r>
    </w:p>
    <w:p w:rsidR="005D06E7" w:rsidRPr="005D06E7" w:rsidRDefault="005D06E7" w:rsidP="005D06E7">
      <w:pPr>
        <w:widowControl/>
        <w:spacing w:line="360" w:lineRule="auto"/>
      </w:pPr>
    </w:p>
    <w:p w:rsidR="005D06E7" w:rsidRDefault="005D06E7" w:rsidP="005D06E7">
      <w:pPr>
        <w:widowControl/>
        <w:spacing w:line="360" w:lineRule="auto"/>
      </w:pPr>
    </w:p>
    <w:p w:rsidR="005D06E7" w:rsidRDefault="005D06E7" w:rsidP="005D06E7">
      <w:pPr>
        <w:widowControl/>
        <w:spacing w:line="360" w:lineRule="auto"/>
      </w:pPr>
      <w:r>
        <w:br w:type="page"/>
      </w:r>
    </w:p>
    <w:p w:rsidR="00FC2115" w:rsidRDefault="00FC2115" w:rsidP="00FC2115">
      <w:pPr>
        <w:jc w:val="center"/>
      </w:pPr>
      <w:r w:rsidRPr="007E4FDE">
        <w:rPr>
          <w:noProof/>
        </w:rPr>
        <w:lastRenderedPageBreak/>
        <w:drawing>
          <wp:inline distT="0" distB="0" distL="0" distR="0" wp14:anchorId="5F87C889" wp14:editId="772522EE">
            <wp:extent cx="5486400" cy="4420870"/>
            <wp:effectExtent l="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7690203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42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FF319A" w:rsidRDefault="00FF319A" w:rsidP="00FC2115">
      <w:pPr>
        <w:jc w:val="center"/>
      </w:pPr>
    </w:p>
    <w:p w:rsidR="00FC2115" w:rsidRPr="00300567" w:rsidRDefault="000116B2" w:rsidP="00FC211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Supplementary Figure 3</w:t>
      </w:r>
      <w:r w:rsidR="00FC2115" w:rsidRPr="00300567">
        <w:rPr>
          <w:rFonts w:ascii="Times New Roman" w:hAnsi="Times New Roman" w:cs="Times New Roman"/>
          <w:b/>
        </w:rPr>
        <w:t>. Quantification g</w:t>
      </w:r>
      <w:r>
        <w:rPr>
          <w:rFonts w:ascii="Times New Roman" w:hAnsi="Times New Roman" w:cs="Times New Roman"/>
          <w:b/>
        </w:rPr>
        <w:t>raphs of immunoblots in Figure 5</w:t>
      </w:r>
    </w:p>
    <w:p w:rsidR="00BF0EDE" w:rsidRDefault="00FC2115" w:rsidP="00FF319A">
      <w:pPr>
        <w:jc w:val="both"/>
        <w:rPr>
          <w:rFonts w:ascii="Times New Roman" w:hAnsi="Times New Roman" w:cs="Times New Roman"/>
        </w:rPr>
      </w:pPr>
      <w:r w:rsidRPr="00300567">
        <w:rPr>
          <w:rFonts w:ascii="Times New Roman" w:hAnsi="Times New Roman" w:cs="Times New Roman"/>
        </w:rPr>
        <w:t>The band intensity of the immunoblots was quantified using ImageJ software. The relative intensities of p-MAPK or p21 to GAPDH expression were normalized with the DMSO control group.</w:t>
      </w:r>
    </w:p>
    <w:p w:rsidR="000116B2" w:rsidRDefault="000116B2" w:rsidP="000116B2">
      <w:pPr>
        <w:widowControl/>
        <w:rPr>
          <w:rFonts w:ascii="Times New Roman" w:hAnsi="Times New Roman" w:cs="Times New Roman"/>
        </w:rPr>
      </w:pPr>
    </w:p>
    <w:sectPr w:rsidR="000116B2" w:rsidSect="00FC2115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5516" w:rsidRDefault="00F35516" w:rsidP="00300567">
      <w:r>
        <w:separator/>
      </w:r>
    </w:p>
  </w:endnote>
  <w:endnote w:type="continuationSeparator" w:id="0">
    <w:p w:rsidR="00F35516" w:rsidRDefault="00F35516" w:rsidP="00300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5516" w:rsidRDefault="00F35516" w:rsidP="00300567">
      <w:r>
        <w:separator/>
      </w:r>
    </w:p>
  </w:footnote>
  <w:footnote w:type="continuationSeparator" w:id="0">
    <w:p w:rsidR="00F35516" w:rsidRDefault="00F35516" w:rsidP="003005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BAA"/>
    <w:rsid w:val="000116B2"/>
    <w:rsid w:val="000D6C8C"/>
    <w:rsid w:val="00300567"/>
    <w:rsid w:val="00317FA0"/>
    <w:rsid w:val="00411060"/>
    <w:rsid w:val="00487328"/>
    <w:rsid w:val="005D06E7"/>
    <w:rsid w:val="006C522D"/>
    <w:rsid w:val="00757BAA"/>
    <w:rsid w:val="00860E59"/>
    <w:rsid w:val="00A23F7F"/>
    <w:rsid w:val="00BF0EDE"/>
    <w:rsid w:val="00D76026"/>
    <w:rsid w:val="00F35516"/>
    <w:rsid w:val="00F81AC4"/>
    <w:rsid w:val="00FC2115"/>
    <w:rsid w:val="00FF3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A2EC1C"/>
  <w15:chartTrackingRefBased/>
  <w15:docId w15:val="{FDE5B688-114C-4B52-959A-EE7EBB8FC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11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56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0056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0056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00567"/>
    <w:rPr>
      <w:sz w:val="20"/>
      <w:szCs w:val="20"/>
    </w:rPr>
  </w:style>
  <w:style w:type="table" w:styleId="2">
    <w:name w:val="Plain Table 2"/>
    <w:basedOn w:val="a1"/>
    <w:uiPriority w:val="42"/>
    <w:rsid w:val="005D06E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5</Pages>
  <Words>662</Words>
  <Characters>3776</Characters>
  <Application>Microsoft Office Word</Application>
  <DocSecurity>0</DocSecurity>
  <Lines>31</Lines>
  <Paragraphs>8</Paragraphs>
  <ScaleCrop>false</ScaleCrop>
  <Company/>
  <LinksUpToDate>false</LinksUpToDate>
  <CharactersWithSpaces>4430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暟耘 蔡</dc:creator>
  <cp:keywords/>
  <dc:description/>
  <cp:lastModifiedBy>暟耘 蔡</cp:lastModifiedBy>
  <cp:revision>18</cp:revision>
  <dcterms:created xsi:type="dcterms:W3CDTF">2019-05-08T13:49:00Z</dcterms:created>
  <dcterms:modified xsi:type="dcterms:W3CDTF">2019-08-11T10:28:00Z</dcterms:modified>
</cp:coreProperties>
</file>